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4558" w:type="dxa"/>
        <w:tblLayout w:type="fixed"/>
        <w:tblLook w:val="04A0" w:firstRow="1" w:lastRow="0" w:firstColumn="1" w:lastColumn="0" w:noHBand="0" w:noVBand="1"/>
      </w:tblPr>
      <w:tblGrid>
        <w:gridCol w:w="4558"/>
      </w:tblGrid>
      <w:tr w:rsidR="00176B83" w14:paraId="546AE076" w14:textId="77777777">
        <w:trPr>
          <w:trHeight w:val="1489"/>
        </w:trPr>
        <w:tc>
          <w:tcPr>
            <w:tcW w:w="4558" w:type="dxa"/>
            <w:tcBorders>
              <w:top w:val="nil"/>
              <w:left w:val="nil"/>
              <w:bottom w:val="nil"/>
              <w:right w:val="nil"/>
            </w:tcBorders>
          </w:tcPr>
          <w:p w14:paraId="07AEB538" w14:textId="77777777" w:rsidR="00176B83" w:rsidRDefault="002771BE">
            <w:pPr>
              <w:widowControl w:val="0"/>
              <w:jc w:val="center"/>
            </w:pPr>
            <w:r>
              <w:rPr>
                <w:noProof/>
              </w:rPr>
              <w:drawing>
                <wp:inline distT="0" distB="0" distL="0" distR="0" wp14:anchorId="391680F4" wp14:editId="2F5DEE44">
                  <wp:extent cx="666750" cy="8699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4"/>
                          <a:stretch>
                            <a:fillRect/>
                          </a:stretch>
                        </pic:blipFill>
                        <pic:spPr bwMode="auto">
                          <a:xfrm>
                            <a:off x="0" y="0"/>
                            <a:ext cx="666750" cy="869950"/>
                          </a:xfrm>
                          <a:prstGeom prst="rect">
                            <a:avLst/>
                          </a:prstGeom>
                        </pic:spPr>
                      </pic:pic>
                    </a:graphicData>
                  </a:graphic>
                </wp:inline>
              </w:drawing>
            </w:r>
          </w:p>
        </w:tc>
      </w:tr>
      <w:tr w:rsidR="00176B83" w14:paraId="4E88049B" w14:textId="77777777">
        <w:trPr>
          <w:trHeight w:val="276"/>
        </w:trPr>
        <w:tc>
          <w:tcPr>
            <w:tcW w:w="4558" w:type="dxa"/>
            <w:tcBorders>
              <w:top w:val="nil"/>
              <w:left w:val="nil"/>
              <w:bottom w:val="nil"/>
              <w:right w:val="nil"/>
            </w:tcBorders>
          </w:tcPr>
          <w:p w14:paraId="2331F4C6" w14:textId="77777777" w:rsidR="00176B83" w:rsidRDefault="002771BE">
            <w:pPr>
              <w:widowControl w:val="0"/>
              <w:jc w:val="center"/>
              <w:rPr>
                <w:b/>
                <w:bCs/>
              </w:rPr>
            </w:pPr>
            <w:r>
              <w:rPr>
                <w:b/>
                <w:bCs/>
              </w:rPr>
              <w:t>REPUBLIKA HRVATSKA</w:t>
            </w:r>
          </w:p>
        </w:tc>
      </w:tr>
      <w:tr w:rsidR="00176B83" w14:paraId="60219FC7" w14:textId="77777777">
        <w:trPr>
          <w:trHeight w:val="291"/>
        </w:trPr>
        <w:tc>
          <w:tcPr>
            <w:tcW w:w="4558" w:type="dxa"/>
            <w:tcBorders>
              <w:top w:val="nil"/>
              <w:left w:val="nil"/>
              <w:bottom w:val="nil"/>
              <w:right w:val="nil"/>
            </w:tcBorders>
          </w:tcPr>
          <w:p w14:paraId="53257C62" w14:textId="77777777" w:rsidR="00176B83" w:rsidRDefault="002771BE">
            <w:pPr>
              <w:widowControl w:val="0"/>
              <w:jc w:val="center"/>
              <w:rPr>
                <w:b/>
                <w:bCs/>
              </w:rPr>
            </w:pPr>
            <w:r>
              <w:rPr>
                <w:b/>
                <w:bCs/>
              </w:rPr>
              <w:t>KRAPINSKO – ZAGORSKA ŽUPANIJA</w:t>
            </w:r>
          </w:p>
        </w:tc>
      </w:tr>
      <w:tr w:rsidR="00176B83" w14:paraId="41CB6482" w14:textId="77777777">
        <w:trPr>
          <w:trHeight w:val="276"/>
        </w:trPr>
        <w:tc>
          <w:tcPr>
            <w:tcW w:w="4558" w:type="dxa"/>
            <w:tcBorders>
              <w:top w:val="nil"/>
              <w:left w:val="nil"/>
              <w:bottom w:val="nil"/>
              <w:right w:val="nil"/>
            </w:tcBorders>
          </w:tcPr>
          <w:p w14:paraId="04FB8FE1" w14:textId="77777777" w:rsidR="00176B83" w:rsidRDefault="002771BE">
            <w:pPr>
              <w:widowControl w:val="0"/>
              <w:jc w:val="center"/>
              <w:rPr>
                <w:b/>
                <w:bCs/>
              </w:rPr>
            </w:pPr>
            <w:r>
              <w:rPr>
                <w:b/>
                <w:bCs/>
              </w:rPr>
              <w:t>GRAD PREGRADA</w:t>
            </w:r>
          </w:p>
        </w:tc>
      </w:tr>
      <w:tr w:rsidR="00176B83" w14:paraId="3033DFE0" w14:textId="77777777">
        <w:trPr>
          <w:trHeight w:val="291"/>
        </w:trPr>
        <w:tc>
          <w:tcPr>
            <w:tcW w:w="4558" w:type="dxa"/>
            <w:tcBorders>
              <w:top w:val="nil"/>
              <w:left w:val="nil"/>
              <w:bottom w:val="nil"/>
              <w:right w:val="nil"/>
            </w:tcBorders>
          </w:tcPr>
          <w:p w14:paraId="32DBAACA" w14:textId="77777777" w:rsidR="00176B83" w:rsidRDefault="002771BE">
            <w:pPr>
              <w:widowControl w:val="0"/>
              <w:jc w:val="center"/>
              <w:rPr>
                <w:b/>
                <w:bCs/>
              </w:rPr>
            </w:pPr>
            <w:r>
              <w:rPr>
                <w:b/>
                <w:bCs/>
              </w:rPr>
              <w:t>GRADONAČELNIK</w:t>
            </w:r>
          </w:p>
        </w:tc>
      </w:tr>
    </w:tbl>
    <w:p w14:paraId="51205BB5" w14:textId="77777777" w:rsidR="00176B83" w:rsidRDefault="00176B83">
      <w:pPr>
        <w:tabs>
          <w:tab w:val="left" w:pos="1710"/>
        </w:tabs>
        <w:jc w:val="both"/>
      </w:pPr>
    </w:p>
    <w:p w14:paraId="52433B9D" w14:textId="77777777" w:rsidR="00F62202" w:rsidRDefault="00F62202" w:rsidP="00F62202">
      <w:pPr>
        <w:jc w:val="both"/>
      </w:pPr>
      <w:r>
        <w:t>KLASA: 410-01/23-01/14</w:t>
      </w:r>
    </w:p>
    <w:p w14:paraId="58F6C7ED" w14:textId="366939B8" w:rsidR="00F62202" w:rsidRDefault="00F62202" w:rsidP="00F62202">
      <w:pPr>
        <w:jc w:val="both"/>
      </w:pPr>
      <w:r>
        <w:t>URBROJ: 2140-5-01-23-02</w:t>
      </w:r>
    </w:p>
    <w:p w14:paraId="7E9DF896" w14:textId="1A8AC6BC" w:rsidR="00176B83" w:rsidRDefault="002771BE" w:rsidP="00F62202">
      <w:pPr>
        <w:jc w:val="both"/>
      </w:pPr>
      <w:r>
        <w:t xml:space="preserve">U Pregradi, </w:t>
      </w:r>
      <w:r w:rsidR="002975B9">
        <w:t>7. studenog 2023.</w:t>
      </w:r>
    </w:p>
    <w:p w14:paraId="0D569E76" w14:textId="77777777" w:rsidR="00176B83" w:rsidRDefault="00176B83">
      <w:pPr>
        <w:jc w:val="both"/>
      </w:pPr>
    </w:p>
    <w:p w14:paraId="44B380A7" w14:textId="12A97489" w:rsidR="00F62202" w:rsidRDefault="002771BE" w:rsidP="00F62202">
      <w:pPr>
        <w:jc w:val="both"/>
      </w:pPr>
      <w:r>
        <w:t>Temeljem članka 11. Zakona o pravu na pristup informacijama („Narodne novine“ br. 25/13, 85/15) i točke V. i VI. Kodeksa savjetovanja sa zainteresiranom javnošću u postupcima donošenja općih akata grada Pregrade („Službeni glasnik Krapinsko – zagorske županije“, br. 32/14), Grad Pregrada pokreće proces savjetovanja sa zainteresiranom javnošću u postupku</w:t>
      </w:r>
      <w:r w:rsidR="00F62202">
        <w:t xml:space="preserve"> </w:t>
      </w:r>
      <w:r>
        <w:t xml:space="preserve">donošenja </w:t>
      </w:r>
      <w:r w:rsidR="00F62202">
        <w:t xml:space="preserve">Odluke </w:t>
      </w:r>
      <w:r w:rsidR="00F62202" w:rsidRPr="00374C23">
        <w:t>o gradskim porezima Grada Pregrade</w:t>
      </w:r>
    </w:p>
    <w:p w14:paraId="4F09D408" w14:textId="355B5891" w:rsidR="00176B83" w:rsidRDefault="00176B83">
      <w:pPr>
        <w:ind w:firstLine="708"/>
        <w:jc w:val="both"/>
      </w:pPr>
    </w:p>
    <w:p w14:paraId="47181577" w14:textId="77777777" w:rsidR="00176B83" w:rsidRDefault="00176B83">
      <w:pPr>
        <w:jc w:val="both"/>
      </w:pPr>
    </w:p>
    <w:p w14:paraId="01FC58EA" w14:textId="77777777" w:rsidR="00176B83" w:rsidRDefault="002771BE">
      <w:pPr>
        <w:jc w:val="center"/>
        <w:rPr>
          <w:b/>
          <w:bCs/>
        </w:rPr>
      </w:pPr>
      <w:r>
        <w:rPr>
          <w:b/>
          <w:bCs/>
        </w:rPr>
        <w:t>J A V N I    P O Z I V</w:t>
      </w:r>
    </w:p>
    <w:p w14:paraId="48EBC4F3" w14:textId="77777777" w:rsidR="00176B83" w:rsidRDefault="002771BE">
      <w:pPr>
        <w:jc w:val="center"/>
      </w:pPr>
      <w:r>
        <w:t xml:space="preserve">za savjetovanje sa zainteresiranom javnošću u postupku donošenja </w:t>
      </w:r>
    </w:p>
    <w:p w14:paraId="44E38FA3" w14:textId="4363E35D" w:rsidR="002975B9" w:rsidRDefault="002975B9" w:rsidP="00374C23">
      <w:pPr>
        <w:jc w:val="center"/>
      </w:pPr>
      <w:r>
        <w:t xml:space="preserve">Odluke </w:t>
      </w:r>
      <w:r w:rsidR="00374C23" w:rsidRPr="00374C23">
        <w:t>o gradskim porezima Grada Pregrade</w:t>
      </w:r>
    </w:p>
    <w:p w14:paraId="7455194D" w14:textId="77777777" w:rsidR="00374C23" w:rsidRDefault="00374C23" w:rsidP="00374C23">
      <w:pPr>
        <w:jc w:val="center"/>
      </w:pPr>
    </w:p>
    <w:p w14:paraId="3D9D66F7" w14:textId="77777777" w:rsidR="00374C23" w:rsidRDefault="00374C23" w:rsidP="00374C23">
      <w:pPr>
        <w:ind w:firstLine="708"/>
        <w:jc w:val="both"/>
      </w:pPr>
      <w:r>
        <w:t>Gradski porezi na području grada Pregrade uređeni su Odlukom o gradskim porezima Grada Pregrade  (Službeni glasnik KZŽ 24/17, NN 69/2017) i Odlukom o izmjenama i dopunama Odluke o gradskim porezima Grada Pregrade (Službeni glasnik KZŽ 45/17, NN 127/2017).</w:t>
      </w:r>
    </w:p>
    <w:p w14:paraId="401E3C81" w14:textId="77777777" w:rsidR="00255852" w:rsidRDefault="00255852" w:rsidP="00374C23">
      <w:pPr>
        <w:ind w:firstLine="708"/>
        <w:jc w:val="both"/>
      </w:pPr>
    </w:p>
    <w:p w14:paraId="5A83E1E7" w14:textId="7DD81145" w:rsidR="00374C23" w:rsidRDefault="00374C23" w:rsidP="00374C23">
      <w:pPr>
        <w:ind w:firstLine="708"/>
        <w:jc w:val="both"/>
      </w:pPr>
      <w:r>
        <w:t xml:space="preserve">Dana 29. studenoga Grad Pregrada zaprimio je uputu Ministarstva financija, Porezne uprave, Središnjeg ureda vezano uz  proveden nadzor prethodno navedenog općeg akta kojim se uređuje pitanje uvođenja odnosno naplate poreza na području grada Pregrade. </w:t>
      </w:r>
    </w:p>
    <w:p w14:paraId="107E4266" w14:textId="651B8491" w:rsidR="00374C23" w:rsidRDefault="00374C23" w:rsidP="00374C23">
      <w:pPr>
        <w:ind w:firstLine="708"/>
        <w:jc w:val="both"/>
      </w:pPr>
      <w:r>
        <w:t>Provedenim nadzorom utvrđeno je kako se pojedine odredbe Odluke o gradskim porezima odnose na pitanja koja nisu u djelokrugu lokalne samouprave.</w:t>
      </w:r>
    </w:p>
    <w:p w14:paraId="56C5F09C" w14:textId="6BB99C4B" w:rsidR="00374C23" w:rsidRDefault="00374C23" w:rsidP="00374C23">
      <w:pPr>
        <w:ind w:firstLine="708"/>
        <w:jc w:val="both"/>
      </w:pPr>
      <w:r>
        <w:t>Sukladno članku 42. Zakona o lokalnim porezima NN 115/16, 101/17, 114/22 predstavničko tijelo jedinice lokalne samouprave svojom odlukom utvrđuje:</w:t>
      </w:r>
    </w:p>
    <w:p w14:paraId="02AC7B4D" w14:textId="77777777" w:rsidR="00374C23" w:rsidRDefault="00374C23" w:rsidP="00374C23">
      <w:pPr>
        <w:ind w:firstLine="708"/>
        <w:jc w:val="both"/>
      </w:pPr>
      <w:r>
        <w:t>1. za potrebe plaćanja prireza porezu na dohodak, visinu stope prireza porezu na dohodak</w:t>
      </w:r>
    </w:p>
    <w:p w14:paraId="2E02D84B" w14:textId="77777777" w:rsidR="00374C23" w:rsidRDefault="00374C23" w:rsidP="00374C23">
      <w:pPr>
        <w:ind w:firstLine="708"/>
        <w:jc w:val="both"/>
      </w:pPr>
      <w:r>
        <w:t>2. za potrebe plaćanja poreza na potrošnju, visinu stope poreza na potrošnju i nadležno porezno tijelo za utvrđivanje i naplatu poreza</w:t>
      </w:r>
    </w:p>
    <w:p w14:paraId="3E308C3E" w14:textId="77777777" w:rsidR="00374C23" w:rsidRDefault="00374C23" w:rsidP="00374C23">
      <w:pPr>
        <w:ind w:firstLine="708"/>
        <w:jc w:val="both"/>
      </w:pPr>
      <w:r>
        <w:t>3. za potrebe plaćanja poreza na kuće za odmor, visinu poreza na kuće za odmor, a ovisno o mjestu, starosti, stanju infrastrukture te drugim okolnostima bitnim za korištenje kuće za odmor, i nadležno porezno tijelo za utvrđivanje i naplatu poreza</w:t>
      </w:r>
    </w:p>
    <w:p w14:paraId="35284BC2" w14:textId="77777777" w:rsidR="00374C23" w:rsidRDefault="00374C23" w:rsidP="00374C23">
      <w:pPr>
        <w:ind w:firstLine="708"/>
        <w:jc w:val="both"/>
      </w:pPr>
      <w:r>
        <w:t>4. za potrebe plaćanja poreza na korištenje javnih površina, što se smatra javnom površinom, visinu, način i uvjete plaćanja poreza na korištenje javnih površina, kao i nadležno porezno tijelo za utvrđivanje i naplatu poreza.</w:t>
      </w:r>
    </w:p>
    <w:p w14:paraId="240CEC36" w14:textId="77777777" w:rsidR="00374C23" w:rsidRDefault="00374C23" w:rsidP="00374C23">
      <w:pPr>
        <w:ind w:firstLine="708"/>
        <w:jc w:val="both"/>
      </w:pPr>
    </w:p>
    <w:p w14:paraId="1F3B7B87" w14:textId="3996BA60" w:rsidR="00176B83" w:rsidRDefault="002771BE" w:rsidP="00374C23">
      <w:pPr>
        <w:ind w:firstLine="708"/>
        <w:jc w:val="both"/>
      </w:pPr>
      <w:r>
        <w:lastRenderedPageBreak/>
        <w:t xml:space="preserve">Svi u roku pristigli prijedlozi razmotrit će se, a oni prihvaćeni, ukomponirati u konačni prijedlog </w:t>
      </w:r>
      <w:r w:rsidR="00B022CF">
        <w:t xml:space="preserve">Odluke </w:t>
      </w:r>
      <w:r w:rsidR="00255852" w:rsidRPr="00255852">
        <w:t>o gradskim porezima Grada Pregrade</w:t>
      </w:r>
      <w:r w:rsidR="00255852" w:rsidRPr="00255852">
        <w:t xml:space="preserve"> </w:t>
      </w:r>
      <w:r>
        <w:t>koji će se proslijediti Gradskom vijeću Grada Pregrade na donošenje.</w:t>
      </w:r>
    </w:p>
    <w:p w14:paraId="27DB7DEA" w14:textId="77777777" w:rsidR="00255852" w:rsidRDefault="00255852" w:rsidP="00374C23">
      <w:pPr>
        <w:ind w:firstLine="708"/>
        <w:jc w:val="both"/>
      </w:pPr>
    </w:p>
    <w:p w14:paraId="47FEB772" w14:textId="77777777" w:rsidR="00176B83" w:rsidRDefault="002771BE">
      <w:pPr>
        <w:ind w:left="4956" w:firstLine="708"/>
        <w:jc w:val="right"/>
      </w:pPr>
      <w:r>
        <w:t>GRADONAČELNIK</w:t>
      </w:r>
    </w:p>
    <w:p w14:paraId="11D05C3F" w14:textId="77777777" w:rsidR="00176B83" w:rsidRDefault="00176B83">
      <w:pPr>
        <w:ind w:left="4956" w:firstLine="708"/>
        <w:jc w:val="right"/>
      </w:pPr>
    </w:p>
    <w:p w14:paraId="2EF99D5B" w14:textId="675746E6" w:rsidR="00176B83" w:rsidRDefault="002771BE" w:rsidP="004C6A81">
      <w:pPr>
        <w:ind w:left="4820" w:firstLine="708"/>
        <w:jc w:val="right"/>
      </w:pPr>
      <w:r>
        <w:t xml:space="preserve">Marko Vešligaj, </w:t>
      </w:r>
      <w:proofErr w:type="spellStart"/>
      <w:r>
        <w:t>univ</w:t>
      </w:r>
      <w:proofErr w:type="spellEnd"/>
      <w:r>
        <w:t xml:space="preserve">. </w:t>
      </w:r>
      <w:proofErr w:type="spellStart"/>
      <w:r>
        <w:t>spec</w:t>
      </w:r>
      <w:proofErr w:type="spellEnd"/>
      <w:r>
        <w:t>. pol.</w:t>
      </w:r>
    </w:p>
    <w:sectPr w:rsidR="00176B83">
      <w:pgSz w:w="11906" w:h="16838"/>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B83"/>
    <w:rsid w:val="00025268"/>
    <w:rsid w:val="00176B83"/>
    <w:rsid w:val="001C10FC"/>
    <w:rsid w:val="00255852"/>
    <w:rsid w:val="002771BE"/>
    <w:rsid w:val="002975B9"/>
    <w:rsid w:val="00374C23"/>
    <w:rsid w:val="004C6A81"/>
    <w:rsid w:val="008C7712"/>
    <w:rsid w:val="00B022CF"/>
    <w:rsid w:val="00F62202"/>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E9FD"/>
  <w15:docId w15:val="{83AECB8C-53ED-4A2F-98CC-74E68CD9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D09"/>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ekstbaloniaChar">
    <w:name w:val="Tekst balončića Char"/>
    <w:basedOn w:val="Zadanifontodlomka"/>
    <w:link w:val="Tekstbalonia"/>
    <w:uiPriority w:val="99"/>
    <w:semiHidden/>
    <w:qFormat/>
    <w:rsid w:val="00B57D09"/>
    <w:rPr>
      <w:rFonts w:ascii="Tahoma" w:eastAsia="Times New Roman" w:hAnsi="Tahoma" w:cs="Tahoma"/>
      <w:sz w:val="16"/>
      <w:szCs w:val="16"/>
      <w:lang w:eastAsia="hr-HR"/>
    </w:rPr>
  </w:style>
  <w:style w:type="paragraph" w:customStyle="1" w:styleId="Stilnaslova">
    <w:name w:val="Stil naslova"/>
    <w:basedOn w:val="Normal"/>
    <w:next w:val="Tijeloteksta"/>
    <w:qFormat/>
    <w:pPr>
      <w:keepNext/>
      <w:spacing w:before="240" w:after="120"/>
    </w:pPr>
    <w:rPr>
      <w:rFonts w:ascii="Liberation Sans" w:eastAsia="Microsoft YaHei" w:hAnsi="Liberation Sans"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rPr>
  </w:style>
  <w:style w:type="paragraph" w:customStyle="1" w:styleId="Indeks">
    <w:name w:val="Indeks"/>
    <w:basedOn w:val="Normal"/>
    <w:qFormat/>
    <w:pPr>
      <w:suppressLineNumbers/>
    </w:pPr>
    <w:rPr>
      <w:rFonts w:cs="Arial"/>
    </w:rPr>
  </w:style>
  <w:style w:type="paragraph" w:styleId="Tekstbalonia">
    <w:name w:val="Balloon Text"/>
    <w:basedOn w:val="Normal"/>
    <w:link w:val="TekstbaloniaChar"/>
    <w:uiPriority w:val="99"/>
    <w:semiHidden/>
    <w:unhideWhenUsed/>
    <w:qFormat/>
    <w:rsid w:val="00B57D09"/>
    <w:rPr>
      <w:rFonts w:ascii="Tahoma" w:hAnsi="Tahoma" w:cs="Tahoma"/>
      <w:sz w:val="16"/>
      <w:szCs w:val="16"/>
    </w:rPr>
  </w:style>
  <w:style w:type="table" w:styleId="Reetkatablice">
    <w:name w:val="Table Grid"/>
    <w:basedOn w:val="Obinatablica"/>
    <w:uiPriority w:val="59"/>
    <w:unhideWhenUsed/>
    <w:rsid w:val="000C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025268"/>
    <w:rPr>
      <w:color w:val="0000FF" w:themeColor="hyperlink"/>
      <w:u w:val="single"/>
    </w:rPr>
  </w:style>
  <w:style w:type="character" w:styleId="Nerijeenospominjanje">
    <w:name w:val="Unresolved Mention"/>
    <w:basedOn w:val="Zadanifontodlomka"/>
    <w:uiPriority w:val="99"/>
    <w:semiHidden/>
    <w:unhideWhenUsed/>
    <w:rsid w:val="00025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367</Words>
  <Characters>2097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Grad Pregrada</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dc:description/>
  <cp:lastModifiedBy>Nikolina Šoštarić Tkalec</cp:lastModifiedBy>
  <cp:revision>3</cp:revision>
  <dcterms:created xsi:type="dcterms:W3CDTF">2023-11-10T10:47:00Z</dcterms:created>
  <dcterms:modified xsi:type="dcterms:W3CDTF">2023-11-10T11:05:00Z</dcterms:modified>
  <dc:language>hr-HR</dc:language>
</cp:coreProperties>
</file>